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C" w:rsidRDefault="00684E81" w:rsidP="00684E81">
      <w:pPr>
        <w:pStyle w:val="Title"/>
        <w:rPr>
          <w:sz w:val="22"/>
        </w:rPr>
      </w:pPr>
      <w:r w:rsidRPr="00684E81">
        <w:rPr>
          <w:sz w:val="40"/>
        </w:rPr>
        <w:t xml:space="preserve">A Brief Chronology of Concordia College </w:t>
      </w:r>
      <w:r w:rsidRPr="00684E81">
        <w:rPr>
          <w:sz w:val="22"/>
        </w:rPr>
        <w:t>(with focus on the 1920’s)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1692"/>
        <w:gridCol w:w="8388"/>
      </w:tblGrid>
      <w:tr w:rsidR="00684E81" w:rsidRPr="00684E81" w:rsidTr="00684E81">
        <w:trPr>
          <w:cnfStyle w:val="100000000000"/>
        </w:trPr>
        <w:tc>
          <w:tcPr>
            <w:cnfStyle w:val="001000000000"/>
            <w:tcW w:w="1692" w:type="dxa"/>
          </w:tcPr>
          <w:p w:rsidR="00684E81" w:rsidRPr="00684E81" w:rsidRDefault="00684E81" w:rsidP="00684E81">
            <w:pPr>
              <w:rPr>
                <w:rFonts w:ascii="Perpetua" w:hAnsi="Perpetua"/>
              </w:rPr>
            </w:pPr>
            <w:r w:rsidRPr="00684E81">
              <w:rPr>
                <w:rFonts w:ascii="Perpetua" w:hAnsi="Perpetua"/>
              </w:rPr>
              <w:t>Year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684E81">
            <w:pPr>
              <w:rPr>
                <w:rFonts w:ascii="Perpetua" w:hAnsi="Perpetua"/>
              </w:rPr>
            </w:pPr>
            <w:r w:rsidRPr="00684E81">
              <w:rPr>
                <w:rFonts w:ascii="Perpetua" w:hAnsi="Perpetua"/>
              </w:rPr>
              <w:t>Event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1891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October 15, Concordia opens at the site of old Bishop Whipple school, with 3 teachers and 12 students. Concordia is dedicated Oct. 31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1892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Men’s dormitory is erected. College now has 8 teachers and 209 students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1894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Luther League is formed, the first Concordia organization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1895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Miss Helga </w:t>
            </w:r>
            <w:proofErr w:type="spellStart"/>
            <w:r w:rsidRPr="00684E81">
              <w:rPr>
                <w:rFonts w:ascii="Perpetua" w:hAnsi="Perpetua"/>
                <w:b w:val="0"/>
              </w:rPr>
              <w:t>Fjelstad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is hired as school matron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1899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band is first organized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1901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10</w:t>
            </w:r>
            <w:r w:rsidRPr="00684E81">
              <w:rPr>
                <w:rFonts w:ascii="Perpetua" w:hAnsi="Perpetua"/>
                <w:b w:val="0"/>
                <w:vertAlign w:val="superscript"/>
              </w:rPr>
              <w:t>th</w:t>
            </w:r>
            <w:r w:rsidRPr="00684E81">
              <w:rPr>
                <w:rFonts w:ascii="Perpetua" w:hAnsi="Perpetua"/>
                <w:b w:val="0"/>
              </w:rPr>
              <w:t xml:space="preserve"> anniversary, First alumni association formed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1907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“New Main” is completed and used for winter term. It is dedicated on June 25. 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1907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First college level courses are offered. Concordia becomes a junior college.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Rev. J.A. </w:t>
            </w:r>
            <w:proofErr w:type="spellStart"/>
            <w:r w:rsidRPr="00684E81">
              <w:rPr>
                <w:rFonts w:ascii="Perpetua" w:hAnsi="Perpetua"/>
                <w:b w:val="0"/>
              </w:rPr>
              <w:t>Aasgaard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accepts presidency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1912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Park Region Luther College grants first baccalaureate degrees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1913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Senior level college courses are added to Concordia’s curriculum leading to a Bachelor of Arts degree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1915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Gymnasium is built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First class from the senior college department is graduated, 6 graduates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Merge of the United, Norwegian, and </w:t>
            </w:r>
            <w:proofErr w:type="spellStart"/>
            <w:r w:rsidRPr="00684E81">
              <w:rPr>
                <w:rFonts w:ascii="Perpetua" w:hAnsi="Perpetua"/>
                <w:b w:val="0"/>
              </w:rPr>
              <w:t>Hauge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synods to create the Norwegian Lutheran Church of America 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Park Region Luther’s college department is transferred to Concordia College. Concordia’s normal, parochial, and special English courses are moved to Park Region, Fergus Falls.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Six professors from Park Region come to Concordia including Bale, </w:t>
            </w:r>
            <w:proofErr w:type="spellStart"/>
            <w:r w:rsidRPr="00684E81">
              <w:rPr>
                <w:rFonts w:ascii="Perpetua" w:hAnsi="Perpetua"/>
                <w:b w:val="0"/>
              </w:rPr>
              <w:t>Nordlie</w:t>
            </w:r>
            <w:proofErr w:type="spellEnd"/>
            <w:r w:rsidRPr="00684E81">
              <w:rPr>
                <w:rFonts w:ascii="Perpetua" w:hAnsi="Perpetua"/>
                <w:b w:val="0"/>
              </w:rPr>
              <w:t>, and T.C. Wilson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1919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Darrow Hospital building is purchased and becomes North Hall dormitory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1919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College Choir begins its initial development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1919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An honor point system is introduced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The Scout is issued, Concordia’s first yearbook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Ruby and gold ring is adopted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The </w:t>
            </w:r>
            <w:proofErr w:type="spellStart"/>
            <w:r w:rsidRPr="00684E81">
              <w:rPr>
                <w:rFonts w:ascii="Perpetua" w:hAnsi="Perpetua"/>
                <w:b w:val="0"/>
              </w:rPr>
              <w:t>Concordian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replaces the Crescent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Turner house is purchased for president’s residence (now </w:t>
            </w:r>
            <w:proofErr w:type="spellStart"/>
            <w:r w:rsidRPr="00684E81">
              <w:rPr>
                <w:rFonts w:ascii="Perpetua" w:hAnsi="Perpetua"/>
                <w:b w:val="0"/>
              </w:rPr>
              <w:t>Aasgaard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house)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is admitted to the Minnesota Intercollegiate Athletic Conference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Thirtieth anniversary is celebrated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Library is built. (</w:t>
            </w:r>
            <w:proofErr w:type="spellStart"/>
            <w:r w:rsidRPr="00684E81">
              <w:rPr>
                <w:rFonts w:ascii="Perpetua" w:hAnsi="Perpetua"/>
                <w:b w:val="0"/>
              </w:rPr>
              <w:t>Grose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Hall)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First bookstore is constructed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Miss Helga </w:t>
            </w:r>
            <w:proofErr w:type="spellStart"/>
            <w:r w:rsidRPr="00684E81">
              <w:rPr>
                <w:rFonts w:ascii="Perpetua" w:hAnsi="Perpetua"/>
                <w:b w:val="0"/>
              </w:rPr>
              <w:t>Fjelstad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announces her retirement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University of Minnesota accreditation officers inspect </w:t>
            </w:r>
            <w:r w:rsidRPr="00684E81">
              <w:rPr>
                <w:rFonts w:ascii="Perpetua" w:hAnsi="Perpetua"/>
                <w:b w:val="0"/>
                <w:bCs w:val="0"/>
              </w:rPr>
              <w:t>Concordia College</w:t>
            </w:r>
            <w:r w:rsidRPr="00684E81">
              <w:rPr>
                <w:rFonts w:ascii="Perpetua" w:hAnsi="Perpetua"/>
                <w:b w:val="0"/>
              </w:rPr>
              <w:t xml:space="preserve">. They find the library deficient. President </w:t>
            </w:r>
            <w:proofErr w:type="spellStart"/>
            <w:r w:rsidRPr="00684E81">
              <w:rPr>
                <w:rFonts w:ascii="Perpetua" w:hAnsi="Perpetua"/>
                <w:b w:val="0"/>
              </w:rPr>
              <w:t>Aasgaard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borrows $8,000 for books; 500-600 books are purchased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18 college seniors graduate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First annual Homecoming is celebrated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Luther League pushes to become active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Wireless is installed (Science club)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1922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Northwestern Lutheran College Association reorganizes and changes its name to Concordia College Corporation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1922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28 college seniors graduate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1922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Bookstore is enlarged to include a kitchen, soda fountain, and mail boxes. It is run by Mrs. </w:t>
            </w:r>
            <w:proofErr w:type="spellStart"/>
            <w:r w:rsidRPr="00684E81">
              <w:rPr>
                <w:rFonts w:ascii="Perpetua" w:hAnsi="Perpetua"/>
                <w:b w:val="0"/>
              </w:rPr>
              <w:t>Borgen</w:t>
            </w:r>
            <w:proofErr w:type="spellEnd"/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1922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Miss Hancock is hired as librarian. Books are organized into card catalogue </w:t>
            </w:r>
            <w:proofErr w:type="spellStart"/>
            <w:r w:rsidRPr="00684E81">
              <w:rPr>
                <w:rFonts w:ascii="Perpetua" w:hAnsi="Perpetua"/>
                <w:b w:val="0"/>
              </w:rPr>
              <w:t>syste</w:t>
            </w:r>
            <w:proofErr w:type="spellEnd"/>
            <w:r w:rsidRPr="00684E81">
              <w:rPr>
                <w:rFonts w:ascii="Perpetua" w:hAnsi="Perpetua"/>
                <w:b w:val="0"/>
              </w:rPr>
              <w:t>, magazines are bound, new reference books are ordered, and new periodicals are subscribed to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lastRenderedPageBreak/>
              <w:t>1923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Miss </w:t>
            </w:r>
            <w:proofErr w:type="spellStart"/>
            <w:r w:rsidRPr="00684E81">
              <w:rPr>
                <w:rFonts w:ascii="Perpetua" w:hAnsi="Perpetua"/>
                <w:b w:val="0"/>
              </w:rPr>
              <w:t>Fjelstad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returns to head boarding department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Team name “Corncobs” becomes “</w:t>
            </w:r>
            <w:proofErr w:type="spellStart"/>
            <w:r w:rsidRPr="00684E81">
              <w:rPr>
                <w:rFonts w:ascii="Perpetua" w:hAnsi="Perpetua"/>
                <w:b w:val="0"/>
              </w:rPr>
              <w:t>Cobbers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” in the Fargo </w:t>
            </w:r>
            <w:r w:rsidRPr="00684E81">
              <w:rPr>
                <w:rFonts w:ascii="Perpetua" w:hAnsi="Perpetua"/>
                <w:b w:val="0"/>
                <w:u w:val="single"/>
              </w:rPr>
              <w:t>Forum</w:t>
            </w:r>
            <w:r w:rsidRPr="00684E81">
              <w:rPr>
                <w:rFonts w:ascii="Perpetua" w:hAnsi="Perpetua"/>
                <w:b w:val="0"/>
              </w:rPr>
              <w:t xml:space="preserve">. (It isn’t until 1928 that the </w:t>
            </w:r>
            <w:proofErr w:type="spellStart"/>
            <w:r w:rsidRPr="00684E81">
              <w:rPr>
                <w:rFonts w:ascii="Perpetua" w:hAnsi="Perpetua"/>
                <w:b w:val="0"/>
                <w:u w:val="single"/>
              </w:rPr>
              <w:t>Concordian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regularly uses “</w:t>
            </w:r>
            <w:proofErr w:type="spellStart"/>
            <w:r w:rsidRPr="00684E81">
              <w:rPr>
                <w:rFonts w:ascii="Perpetua" w:hAnsi="Perpetua"/>
                <w:b w:val="0"/>
              </w:rPr>
              <w:t>Cobbers</w:t>
            </w:r>
            <w:proofErr w:type="spellEnd"/>
            <w:r w:rsidRPr="00684E81">
              <w:rPr>
                <w:rFonts w:ascii="Perpetua" w:hAnsi="Perpetua"/>
                <w:b w:val="0"/>
              </w:rPr>
              <w:t>.”)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65 acres of land is purchased south of the main campus (now the athletic fields)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Ski Slide is built north of Moorhead. K. </w:t>
            </w:r>
            <w:proofErr w:type="spellStart"/>
            <w:r w:rsidRPr="00684E81">
              <w:rPr>
                <w:rFonts w:ascii="Perpetua" w:hAnsi="Perpetua"/>
                <w:b w:val="0"/>
              </w:rPr>
              <w:t>Garsteig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takes honors at first </w:t>
            </w:r>
            <w:proofErr w:type="spellStart"/>
            <w:r w:rsidRPr="00684E81">
              <w:rPr>
                <w:rFonts w:ascii="Perpetua" w:hAnsi="Perpetua"/>
                <w:b w:val="0"/>
              </w:rPr>
              <w:t>Divre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ski club meet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proofErr w:type="spellStart"/>
            <w:r w:rsidRPr="00684E81">
              <w:rPr>
                <w:rFonts w:ascii="Perpetua" w:hAnsi="Perpetua"/>
                <w:b w:val="0"/>
              </w:rPr>
              <w:t>Skalet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hired to teach Ancient History, History of Art, Archeology, and Advanced Latin. </w:t>
            </w:r>
            <w:proofErr w:type="spellStart"/>
            <w:r w:rsidRPr="00684E81">
              <w:rPr>
                <w:rFonts w:ascii="Perpetua" w:hAnsi="Perpetua"/>
                <w:b w:val="0"/>
              </w:rPr>
              <w:t>Holvik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hired to had Norse department. Herman Monson hired to direct band and choir. Mrs. </w:t>
            </w:r>
            <w:proofErr w:type="spellStart"/>
            <w:r w:rsidRPr="00684E81">
              <w:rPr>
                <w:rFonts w:ascii="Perpetua" w:hAnsi="Perpetua"/>
                <w:b w:val="0"/>
              </w:rPr>
              <w:t>Holvik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hired as choral teacher.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1924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Feb, Placement Bureau is organized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1924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First year an academy class is dropped. Sophomore, junior, and senior academy students remain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Jan. 29, Concordia College Corporation votes transfer of Concordia to control and sponsorship of the Norwegian Lutheran Church of America 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President </w:t>
            </w:r>
            <w:proofErr w:type="spellStart"/>
            <w:r w:rsidRPr="00684E81">
              <w:rPr>
                <w:rFonts w:ascii="Perpetua" w:hAnsi="Perpetua"/>
                <w:b w:val="0"/>
              </w:rPr>
              <w:t>Aasgaard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celebrates his 50</w:t>
            </w:r>
            <w:r w:rsidRPr="00684E81">
              <w:rPr>
                <w:rFonts w:ascii="Perpetua" w:hAnsi="Perpetua"/>
                <w:b w:val="0"/>
                <w:vertAlign w:val="superscript"/>
              </w:rPr>
              <w:t>th</w:t>
            </w:r>
            <w:r w:rsidRPr="00684E81">
              <w:rPr>
                <w:rFonts w:ascii="Perpetua" w:hAnsi="Perpetua"/>
                <w:b w:val="0"/>
              </w:rPr>
              <w:t xml:space="preserve"> birthday. He receives a six cylinder Studebaker Brougham from faculty, students, alumni, Trinity, Salem, Kiwanis, and Rotary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48 college seniors graduate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Dr. </w:t>
            </w:r>
            <w:proofErr w:type="spellStart"/>
            <w:r w:rsidRPr="00684E81">
              <w:rPr>
                <w:rFonts w:ascii="Perpetua" w:hAnsi="Perpetua"/>
                <w:b w:val="0"/>
              </w:rPr>
              <w:t>Aasgaard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becomes president of Norwegian Lutheran Church of America by acclamation. (Pres. Stub resigns because of illness.)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proofErr w:type="spellStart"/>
            <w:r w:rsidRPr="00684E81">
              <w:rPr>
                <w:rFonts w:ascii="Perpetua" w:hAnsi="Perpetua"/>
                <w:b w:val="0"/>
              </w:rPr>
              <w:t>Aasgaard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retires from presidency of Concordia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Oct. 31, Rev. J.N. Brown is installed as president, Dr. </w:t>
            </w:r>
            <w:proofErr w:type="spellStart"/>
            <w:r w:rsidRPr="00684E81">
              <w:rPr>
                <w:rFonts w:ascii="Perpetua" w:hAnsi="Perpetua"/>
                <w:b w:val="0"/>
              </w:rPr>
              <w:t>Aasgaard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officiating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1926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A campaign begins to raise endowment fund. The goal is at least $500,000. By May 29, $500</w:t>
            </w:r>
            <w:proofErr w:type="gramStart"/>
            <w:r w:rsidRPr="00684E81">
              <w:rPr>
                <w:rFonts w:ascii="Perpetua" w:hAnsi="Perpetua"/>
                <w:b w:val="0"/>
              </w:rPr>
              <w:t>,00</w:t>
            </w:r>
            <w:proofErr w:type="gramEnd"/>
            <w:r w:rsidRPr="00684E81">
              <w:rPr>
                <w:rFonts w:ascii="Perpetua" w:hAnsi="Perpetua"/>
                <w:b w:val="0"/>
              </w:rPr>
              <w:t xml:space="preserve"> is raised. By fall, $750,00 is raised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1926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President Brown hires additional teachers, expands the library, hires a full time librarian, offers new courses, and improves buildings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Final class of academy students are graduated, 11 students. 57 college seniors graduate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College Choir makes its first extensive tour to the West coast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College is accredited by North Central Association of Colleges and Universities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board of trustees purchase five blocks and continue south campus expansion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Jan., chapel services are broadcast over WDAY, Fargo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1928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College Corporation is reorganized. The delegates to the church convention serve as representatives in the Concordia Corporation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1928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purchases a farm 2 ½ miles east of Moorhead to provide dairy and farm products for boarding department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1928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59 seniors graduate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Concordia Conservatory opens in Fargo after the purchase of Dakota Conservatory of Music. First Bachelor of Music degree is awarded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102 seniors graduate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proofErr w:type="spellStart"/>
            <w:r w:rsidRPr="00684E81">
              <w:rPr>
                <w:rFonts w:ascii="Perpetua" w:hAnsi="Perpetua"/>
                <w:b w:val="0"/>
              </w:rPr>
              <w:t>Estey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pipe organ is installed in Main auditorium, a gift from First Presbyterian Church of Fargo for installation in Concordia Conservatory in Fargo, but there wasn’t enough room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October, the stock market crashes; this leads to years of unstable prices and wages, and unemployment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 xml:space="preserve">Miss Helga </w:t>
            </w:r>
            <w:proofErr w:type="spellStart"/>
            <w:r w:rsidRPr="00684E81">
              <w:rPr>
                <w:rFonts w:ascii="Perpetua" w:hAnsi="Perpetua"/>
                <w:b w:val="0"/>
              </w:rPr>
              <w:t>Fjelstad</w:t>
            </w:r>
            <w:proofErr w:type="spellEnd"/>
            <w:r w:rsidRPr="00684E81">
              <w:rPr>
                <w:rFonts w:ascii="Perpetua" w:hAnsi="Perpetua"/>
                <w:b w:val="0"/>
              </w:rPr>
              <w:t xml:space="preserve"> retires because of ill health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The band takes a summer tour to four western states including Yellowstone National Park and Livingston, MT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College campus includes 12 city blocks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108 students graduate</w:t>
            </w:r>
          </w:p>
        </w:tc>
      </w:tr>
      <w:tr w:rsidR="00684E81" w:rsidRPr="00684E81" w:rsidTr="00684E81">
        <w:trPr>
          <w:cnfStyle w:val="00000010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Fortieth anniversary celebrated</w:t>
            </w:r>
          </w:p>
        </w:tc>
      </w:tr>
      <w:tr w:rsidR="00684E81" w:rsidRPr="00684E81" w:rsidTr="00684E81">
        <w:trPr>
          <w:cnfStyle w:val="000000010000"/>
        </w:trPr>
        <w:tc>
          <w:tcPr>
            <w:cnfStyle w:val="001000000000"/>
            <w:tcW w:w="1692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388" w:type="dxa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“Hymn to Concordia” and “Concordia Forever” are introduced</w:t>
            </w:r>
          </w:p>
        </w:tc>
      </w:tr>
      <w:tr w:rsidR="00684E81" w:rsidRPr="00684E81" w:rsidTr="00684E81">
        <w:trPr>
          <w:cnfStyle w:val="010000000000"/>
        </w:trPr>
        <w:tc>
          <w:tcPr>
            <w:cnfStyle w:val="001000000000"/>
            <w:tcW w:w="169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38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84E81" w:rsidRPr="00684E81" w:rsidRDefault="00684E81" w:rsidP="00F25935">
            <w:pPr>
              <w:rPr>
                <w:rFonts w:ascii="Perpetua" w:hAnsi="Perpetua"/>
                <w:b w:val="0"/>
              </w:rPr>
            </w:pPr>
            <w:r w:rsidRPr="00684E81">
              <w:rPr>
                <w:rFonts w:ascii="Perpetua" w:hAnsi="Perpetua"/>
                <w:b w:val="0"/>
              </w:rPr>
              <w:t>102 student graduate</w:t>
            </w:r>
          </w:p>
        </w:tc>
      </w:tr>
    </w:tbl>
    <w:p w:rsidR="00684E81" w:rsidRPr="00684E81" w:rsidRDefault="00684E81" w:rsidP="00684E81"/>
    <w:sectPr w:rsidR="00684E81" w:rsidRPr="00684E81" w:rsidSect="00684E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4E81"/>
    <w:rsid w:val="00684E81"/>
    <w:rsid w:val="00F7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E81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E81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68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684E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5087</Characters>
  <Application>Microsoft Office Word</Application>
  <DocSecurity>0</DocSecurity>
  <Lines>42</Lines>
  <Paragraphs>11</Paragraphs>
  <ScaleCrop>false</ScaleCrop>
  <Company>Concordia College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2012-07-18T17:20:00Z</cp:lastPrinted>
  <dcterms:created xsi:type="dcterms:W3CDTF">2012-07-18T17:14:00Z</dcterms:created>
  <dcterms:modified xsi:type="dcterms:W3CDTF">2012-07-18T17:20:00Z</dcterms:modified>
</cp:coreProperties>
</file>